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909F" w14:textId="77777777" w:rsidR="008C7EE9" w:rsidRPr="00A1197E" w:rsidRDefault="00CE5612">
      <w:pPr>
        <w:ind w:left="2490" w:right="2609"/>
        <w:jc w:val="center"/>
        <w:rPr>
          <w:b/>
          <w:bCs/>
          <w:sz w:val="24"/>
          <w:szCs w:val="24"/>
        </w:rPr>
      </w:pPr>
      <w:r w:rsidRPr="00A1197E">
        <w:rPr>
          <w:b/>
          <w:bCs/>
          <w:sz w:val="24"/>
          <w:szCs w:val="24"/>
        </w:rPr>
        <w:t>PROPOSAL MATCH GUIDELI</w:t>
      </w:r>
      <w:r w:rsidRPr="00A1197E">
        <w:rPr>
          <w:b/>
          <w:bCs/>
          <w:spacing w:val="-51"/>
          <w:sz w:val="24"/>
          <w:szCs w:val="24"/>
        </w:rPr>
        <w:t xml:space="preserve"> </w:t>
      </w:r>
      <w:r w:rsidRPr="00A1197E">
        <w:rPr>
          <w:b/>
          <w:bCs/>
          <w:spacing w:val="4"/>
          <w:sz w:val="24"/>
          <w:szCs w:val="24"/>
        </w:rPr>
        <w:t>NES</w:t>
      </w:r>
      <w:r w:rsidR="009359B4" w:rsidRPr="00A1197E">
        <w:rPr>
          <w:b/>
          <w:bCs/>
          <w:spacing w:val="4"/>
          <w:sz w:val="24"/>
          <w:szCs w:val="24"/>
          <w:vertAlign w:val="superscript"/>
        </w:rPr>
        <w:t>1</w:t>
      </w:r>
    </w:p>
    <w:p w14:paraId="12080DDD" w14:textId="77777777" w:rsidR="008C7EE9" w:rsidRPr="00A1197E" w:rsidRDefault="00CE5612">
      <w:pPr>
        <w:pStyle w:val="BodyText"/>
        <w:spacing w:before="253" w:line="256" w:lineRule="auto"/>
        <w:ind w:left="109" w:right="241" w:hanging="2"/>
      </w:pPr>
      <w:r w:rsidRPr="00A1197E">
        <w:rPr>
          <w:w w:val="105"/>
        </w:rPr>
        <w:t xml:space="preserve">Purpose: These guidelines are intended to guide the preparation of grant and contract proposals that include matching funds. In order to promote </w:t>
      </w:r>
      <w:r w:rsidR="00FA100D" w:rsidRPr="00A1197E">
        <w:rPr>
          <w:w w:val="105"/>
        </w:rPr>
        <w:t>Central Michigan University’s (</w:t>
      </w:r>
      <w:r w:rsidRPr="00A1197E">
        <w:rPr>
          <w:w w:val="105"/>
        </w:rPr>
        <w:t>CMU's</w:t>
      </w:r>
      <w:r w:rsidR="00FA100D" w:rsidRPr="00A1197E">
        <w:rPr>
          <w:w w:val="105"/>
        </w:rPr>
        <w:t>)</w:t>
      </w:r>
      <w:r w:rsidRPr="00A1197E">
        <w:rPr>
          <w:w w:val="105"/>
        </w:rPr>
        <w:t xml:space="preserve"> efforts to secure increased external funding for research, education</w:t>
      </w:r>
      <w:r w:rsidR="009359B4" w:rsidRPr="00A1197E">
        <w:rPr>
          <w:w w:val="105"/>
        </w:rPr>
        <w:t>,</w:t>
      </w:r>
      <w:r w:rsidRPr="00A1197E">
        <w:rPr>
          <w:w w:val="105"/>
        </w:rPr>
        <w:t xml:space="preserve"> outreach or creative projects, </w:t>
      </w:r>
      <w:r w:rsidR="00FA100D" w:rsidRPr="00A1197E">
        <w:rPr>
          <w:w w:val="105"/>
        </w:rPr>
        <w:t>the Office of Research and Graduate Studies (ORGS)</w:t>
      </w:r>
      <w:r w:rsidRPr="00A1197E">
        <w:rPr>
          <w:w w:val="105"/>
        </w:rPr>
        <w:t xml:space="preserve"> is committed to working with the academic colleges to provide match for proposals where this is explicitly required by the funding</w:t>
      </w:r>
      <w:r w:rsidRPr="00A1197E">
        <w:rPr>
          <w:spacing w:val="1"/>
          <w:w w:val="105"/>
        </w:rPr>
        <w:t xml:space="preserve"> </w:t>
      </w:r>
      <w:r w:rsidRPr="00A1197E">
        <w:rPr>
          <w:w w:val="105"/>
        </w:rPr>
        <w:t>agency.</w:t>
      </w:r>
    </w:p>
    <w:p w14:paraId="5A08928D" w14:textId="77777777" w:rsidR="008C7EE9" w:rsidRPr="00A1197E" w:rsidRDefault="008C7EE9">
      <w:pPr>
        <w:pStyle w:val="BodyText"/>
        <w:spacing w:before="6"/>
      </w:pPr>
    </w:p>
    <w:p w14:paraId="15EB1F11" w14:textId="77777777" w:rsidR="008C7EE9" w:rsidRPr="00A1197E" w:rsidRDefault="00CE5612">
      <w:pPr>
        <w:pStyle w:val="Heading1"/>
        <w:rPr>
          <w:sz w:val="22"/>
          <w:szCs w:val="22"/>
        </w:rPr>
      </w:pPr>
      <w:r w:rsidRPr="00A1197E">
        <w:rPr>
          <w:sz w:val="22"/>
          <w:szCs w:val="22"/>
        </w:rPr>
        <w:t>PROPOSAL MATCH</w:t>
      </w:r>
    </w:p>
    <w:p w14:paraId="78137B9B" w14:textId="77777777" w:rsidR="008C7EE9" w:rsidRPr="00A1197E" w:rsidRDefault="008C7EE9">
      <w:pPr>
        <w:pStyle w:val="BodyText"/>
        <w:spacing w:before="9"/>
      </w:pPr>
    </w:p>
    <w:p w14:paraId="1E79DE80" w14:textId="6F80C90D" w:rsidR="008C7EE9" w:rsidRPr="00A1197E" w:rsidRDefault="00CE5612">
      <w:pPr>
        <w:pStyle w:val="BodyText"/>
        <w:spacing w:line="252" w:lineRule="auto"/>
        <w:ind w:left="150" w:right="241" w:hanging="5"/>
      </w:pPr>
      <w:r w:rsidRPr="00A1197E">
        <w:rPr>
          <w:w w:val="105"/>
        </w:rPr>
        <w:t>CMU will ensure that wherever possible</w:t>
      </w:r>
      <w:r w:rsidR="00FA100D" w:rsidRPr="00A1197E">
        <w:rPr>
          <w:w w:val="105"/>
        </w:rPr>
        <w:t>,</w:t>
      </w:r>
      <w:r w:rsidRPr="00A1197E">
        <w:rPr>
          <w:w w:val="105"/>
        </w:rPr>
        <w:t xml:space="preserve"> faculty members are able to apply for grants that require match. At the same </w:t>
      </w:r>
      <w:r w:rsidR="00F30A2E" w:rsidRPr="00A1197E">
        <w:rPr>
          <w:w w:val="105"/>
        </w:rPr>
        <w:t>time,</w:t>
      </w:r>
      <w:r w:rsidRPr="00A1197E">
        <w:rPr>
          <w:w w:val="105"/>
        </w:rPr>
        <w:t xml:space="preserve"> it is important to avoid making commitments of CMU resources to support projects where match is not required or where the amount of match is disproportionate to the size of the grant or</w:t>
      </w:r>
      <w:r w:rsidRPr="00A1197E">
        <w:rPr>
          <w:spacing w:val="3"/>
          <w:w w:val="105"/>
        </w:rPr>
        <w:t xml:space="preserve"> </w:t>
      </w:r>
      <w:r w:rsidRPr="00A1197E">
        <w:rPr>
          <w:w w:val="105"/>
        </w:rPr>
        <w:t>contract.</w:t>
      </w:r>
    </w:p>
    <w:p w14:paraId="44598B46" w14:textId="77777777" w:rsidR="008C7EE9" w:rsidRPr="00A1197E" w:rsidRDefault="008C7EE9">
      <w:pPr>
        <w:pStyle w:val="BodyText"/>
        <w:spacing w:before="5"/>
      </w:pPr>
    </w:p>
    <w:p w14:paraId="3A40CDCD" w14:textId="619DFA7B" w:rsidR="008C7EE9" w:rsidRPr="00A1197E" w:rsidRDefault="00CE5612">
      <w:pPr>
        <w:pStyle w:val="BodyText"/>
        <w:spacing w:line="256" w:lineRule="auto"/>
        <w:ind w:left="173" w:right="333" w:hanging="9"/>
      </w:pPr>
      <w:r w:rsidRPr="00A1197E">
        <w:rPr>
          <w:w w:val="105"/>
        </w:rPr>
        <w:t>Match is generally provided by a combination of departmental</w:t>
      </w:r>
      <w:r w:rsidR="00FA100D" w:rsidRPr="00A1197E">
        <w:rPr>
          <w:w w:val="105"/>
        </w:rPr>
        <w:t xml:space="preserve">, </w:t>
      </w:r>
      <w:r w:rsidRPr="00A1197E">
        <w:rPr>
          <w:w w:val="105"/>
        </w:rPr>
        <w:t xml:space="preserve">college and </w:t>
      </w:r>
      <w:r w:rsidR="00FA100D" w:rsidRPr="00A1197E">
        <w:rPr>
          <w:w w:val="105"/>
        </w:rPr>
        <w:t>ORGS</w:t>
      </w:r>
      <w:r w:rsidRPr="00A1197E">
        <w:rPr>
          <w:w w:val="105"/>
        </w:rPr>
        <w:t xml:space="preserve"> funds. Although decisions about match are made on a case-by-case basis by the V</w:t>
      </w:r>
      <w:r w:rsidR="00FA100D" w:rsidRPr="00A1197E">
        <w:rPr>
          <w:w w:val="105"/>
        </w:rPr>
        <w:t xml:space="preserve">ice </w:t>
      </w:r>
      <w:r w:rsidRPr="00A1197E">
        <w:rPr>
          <w:w w:val="105"/>
        </w:rPr>
        <w:t>P</w:t>
      </w:r>
      <w:r w:rsidR="00FA100D" w:rsidRPr="00A1197E">
        <w:rPr>
          <w:w w:val="105"/>
        </w:rPr>
        <w:t>resident</w:t>
      </w:r>
      <w:r w:rsidRPr="00A1197E">
        <w:rPr>
          <w:w w:val="105"/>
        </w:rPr>
        <w:t xml:space="preserve"> for Research </w:t>
      </w:r>
      <w:r w:rsidR="009359B4" w:rsidRPr="00A1197E">
        <w:rPr>
          <w:w w:val="105"/>
        </w:rPr>
        <w:t xml:space="preserve">and </w:t>
      </w:r>
      <w:r w:rsidR="00FA100D" w:rsidRPr="00A1197E">
        <w:rPr>
          <w:w w:val="105"/>
        </w:rPr>
        <w:t>Innovation</w:t>
      </w:r>
      <w:r w:rsidR="00A1197E" w:rsidRPr="00A1197E">
        <w:rPr>
          <w:w w:val="105"/>
        </w:rPr>
        <w:t>,</w:t>
      </w:r>
      <w:r w:rsidRPr="00A1197E">
        <w:rPr>
          <w:w w:val="105"/>
        </w:rPr>
        <w:t xml:space="preserve"> the Dean, </w:t>
      </w:r>
      <w:r w:rsidR="00A1197E" w:rsidRPr="00A1197E">
        <w:rPr>
          <w:w w:val="105"/>
        </w:rPr>
        <w:t xml:space="preserve">and the Chair, </w:t>
      </w:r>
      <w:r w:rsidRPr="00A1197E">
        <w:rPr>
          <w:w w:val="105"/>
        </w:rPr>
        <w:t>the following guidelines apply in most</w:t>
      </w:r>
      <w:r w:rsidR="00A1197E" w:rsidRPr="00A1197E">
        <w:rPr>
          <w:spacing w:val="57"/>
          <w:w w:val="105"/>
        </w:rPr>
        <w:t xml:space="preserve"> </w:t>
      </w:r>
      <w:r w:rsidRPr="00A1197E">
        <w:rPr>
          <w:w w:val="105"/>
        </w:rPr>
        <w:t>cases.</w:t>
      </w:r>
    </w:p>
    <w:p w14:paraId="6324155A" w14:textId="77777777" w:rsidR="008C7EE9" w:rsidRPr="00A1197E" w:rsidRDefault="008C7EE9">
      <w:pPr>
        <w:pStyle w:val="BodyText"/>
        <w:spacing w:before="8"/>
      </w:pPr>
    </w:p>
    <w:p w14:paraId="7A53FC67" w14:textId="2D8C9871" w:rsidR="008C7EE9" w:rsidRPr="00A1197E" w:rsidRDefault="00CE5612">
      <w:pPr>
        <w:pStyle w:val="ListParagraph"/>
        <w:numPr>
          <w:ilvl w:val="0"/>
          <w:numId w:val="2"/>
        </w:numPr>
        <w:tabs>
          <w:tab w:val="left" w:pos="886"/>
          <w:tab w:val="left" w:pos="887"/>
        </w:tabs>
        <w:spacing w:line="249" w:lineRule="auto"/>
        <w:ind w:right="393" w:hanging="348"/>
      </w:pPr>
      <w:r w:rsidRPr="00A1197E">
        <w:rPr>
          <w:w w:val="105"/>
        </w:rPr>
        <w:t xml:space="preserve">Requests for matching funds must be made and approved in advance of proposal submission: allow adequate time for the </w:t>
      </w:r>
      <w:r w:rsidR="00FA100D" w:rsidRPr="00A1197E">
        <w:rPr>
          <w:w w:val="105"/>
        </w:rPr>
        <w:t xml:space="preserve">department </w:t>
      </w:r>
      <w:r w:rsidRPr="00A1197E">
        <w:rPr>
          <w:w w:val="105"/>
        </w:rPr>
        <w:t xml:space="preserve">chair, </w:t>
      </w:r>
      <w:r w:rsidR="000B1495">
        <w:rPr>
          <w:w w:val="105"/>
        </w:rPr>
        <w:t xml:space="preserve">college </w:t>
      </w:r>
      <w:r w:rsidRPr="00A1197E">
        <w:rPr>
          <w:w w:val="105"/>
        </w:rPr>
        <w:t>dean and V</w:t>
      </w:r>
      <w:r w:rsidR="00FA100D" w:rsidRPr="00A1197E">
        <w:rPr>
          <w:w w:val="105"/>
        </w:rPr>
        <w:t xml:space="preserve">ice </w:t>
      </w:r>
      <w:r w:rsidRPr="00A1197E">
        <w:rPr>
          <w:w w:val="105"/>
        </w:rPr>
        <w:t>P</w:t>
      </w:r>
      <w:r w:rsidR="00FA100D" w:rsidRPr="00A1197E">
        <w:rPr>
          <w:w w:val="105"/>
        </w:rPr>
        <w:t>resident</w:t>
      </w:r>
      <w:r w:rsidRPr="00A1197E">
        <w:rPr>
          <w:w w:val="105"/>
        </w:rPr>
        <w:t xml:space="preserve"> for </w:t>
      </w:r>
      <w:r w:rsidR="008608E7" w:rsidRPr="00A1197E">
        <w:rPr>
          <w:w w:val="105"/>
        </w:rPr>
        <w:t>Research</w:t>
      </w:r>
      <w:r w:rsidRPr="00A1197E">
        <w:rPr>
          <w:w w:val="105"/>
        </w:rPr>
        <w:t xml:space="preserve"> </w:t>
      </w:r>
      <w:r w:rsidR="00FA100D" w:rsidRPr="00A1197E">
        <w:rPr>
          <w:w w:val="105"/>
        </w:rPr>
        <w:t xml:space="preserve">and Innovation </w:t>
      </w:r>
      <w:r w:rsidRPr="00A1197E">
        <w:rPr>
          <w:w w:val="105"/>
        </w:rPr>
        <w:t>to review your request.</w:t>
      </w:r>
    </w:p>
    <w:p w14:paraId="0306EC0A" w14:textId="77777777" w:rsidR="008C7EE9" w:rsidRPr="00A1197E" w:rsidRDefault="008C7EE9">
      <w:pPr>
        <w:pStyle w:val="BodyText"/>
        <w:spacing w:before="7"/>
      </w:pPr>
    </w:p>
    <w:p w14:paraId="3B99EF69" w14:textId="5D3679BB" w:rsidR="008C7EE9" w:rsidRPr="00A1197E" w:rsidRDefault="00CE5612">
      <w:pPr>
        <w:pStyle w:val="ListParagraph"/>
        <w:numPr>
          <w:ilvl w:val="0"/>
          <w:numId w:val="2"/>
        </w:numPr>
        <w:tabs>
          <w:tab w:val="left" w:pos="894"/>
          <w:tab w:val="left" w:pos="895"/>
        </w:tabs>
        <w:ind w:left="894" w:hanging="349"/>
      </w:pPr>
      <w:r w:rsidRPr="00A1197E">
        <w:rPr>
          <w:w w:val="105"/>
        </w:rPr>
        <w:t>Match will only be provided where it is explicitly required by the funding</w:t>
      </w:r>
      <w:r w:rsidRPr="00A1197E">
        <w:rPr>
          <w:spacing w:val="6"/>
          <w:w w:val="105"/>
        </w:rPr>
        <w:t xml:space="preserve"> </w:t>
      </w:r>
      <w:r w:rsidRPr="00A1197E">
        <w:rPr>
          <w:w w:val="105"/>
        </w:rPr>
        <w:t>agency.</w:t>
      </w:r>
    </w:p>
    <w:p w14:paraId="1B825655" w14:textId="77777777" w:rsidR="008C7EE9" w:rsidRPr="00A1197E" w:rsidRDefault="008C7EE9">
      <w:pPr>
        <w:pStyle w:val="BodyText"/>
        <w:spacing w:before="7"/>
      </w:pPr>
    </w:p>
    <w:p w14:paraId="7236B46C" w14:textId="37571AAE" w:rsidR="008C7EE9" w:rsidRPr="00A1197E" w:rsidRDefault="00CE5612">
      <w:pPr>
        <w:pStyle w:val="ListParagraph"/>
        <w:numPr>
          <w:ilvl w:val="0"/>
          <w:numId w:val="2"/>
        </w:numPr>
        <w:tabs>
          <w:tab w:val="left" w:pos="910"/>
          <w:tab w:val="left" w:pos="911"/>
        </w:tabs>
        <w:spacing w:line="247" w:lineRule="auto"/>
        <w:ind w:left="904" w:right="284" w:hanging="351"/>
      </w:pPr>
      <w:r w:rsidRPr="00A1197E">
        <w:rPr>
          <w:w w:val="105"/>
        </w:rPr>
        <w:t xml:space="preserve">Voluntary or non-required match will be considered in circumstances where the funding agency explicitly indicates </w:t>
      </w:r>
      <w:r w:rsidR="00FC2B3A">
        <w:rPr>
          <w:w w:val="105"/>
        </w:rPr>
        <w:t xml:space="preserve">in the funding guidelines </w:t>
      </w:r>
      <w:r w:rsidRPr="00A1197E">
        <w:rPr>
          <w:w w:val="105"/>
        </w:rPr>
        <w:t xml:space="preserve">that it will increase the </w:t>
      </w:r>
      <w:r w:rsidR="00FA100D" w:rsidRPr="00A1197E">
        <w:rPr>
          <w:w w:val="105"/>
        </w:rPr>
        <w:t xml:space="preserve">likelihood </w:t>
      </w:r>
      <w:r w:rsidRPr="00A1197E">
        <w:rPr>
          <w:w w:val="105"/>
        </w:rPr>
        <w:t>of</w:t>
      </w:r>
      <w:r w:rsidRPr="00A1197E">
        <w:rPr>
          <w:spacing w:val="18"/>
          <w:w w:val="105"/>
        </w:rPr>
        <w:t xml:space="preserve"> </w:t>
      </w:r>
      <w:r w:rsidRPr="00A1197E">
        <w:rPr>
          <w:w w:val="105"/>
        </w:rPr>
        <w:t>funding.</w:t>
      </w:r>
    </w:p>
    <w:p w14:paraId="37B48042" w14:textId="77777777" w:rsidR="008C7EE9" w:rsidRPr="00A1197E" w:rsidRDefault="008C7EE9">
      <w:pPr>
        <w:pStyle w:val="BodyText"/>
        <w:spacing w:before="4"/>
      </w:pPr>
    </w:p>
    <w:p w14:paraId="22A9228B" w14:textId="3AADE39F" w:rsidR="008C7EE9" w:rsidRPr="00A1197E" w:rsidRDefault="00CE5612">
      <w:pPr>
        <w:pStyle w:val="ListParagraph"/>
        <w:numPr>
          <w:ilvl w:val="0"/>
          <w:numId w:val="2"/>
        </w:numPr>
        <w:tabs>
          <w:tab w:val="left" w:pos="930"/>
          <w:tab w:val="left" w:pos="931"/>
        </w:tabs>
        <w:spacing w:line="252" w:lineRule="auto"/>
        <w:ind w:left="926" w:right="279" w:hanging="351"/>
      </w:pPr>
      <w:r w:rsidRPr="00A1197E">
        <w:rPr>
          <w:w w:val="105"/>
        </w:rPr>
        <w:t>Where possible</w:t>
      </w:r>
      <w:r w:rsidR="00F30A2E">
        <w:rPr>
          <w:w w:val="105"/>
        </w:rPr>
        <w:t>,</w:t>
      </w:r>
      <w:r w:rsidRPr="00A1197E">
        <w:rPr>
          <w:w w:val="105"/>
        </w:rPr>
        <w:t xml:space="preserve"> CMU will use </w:t>
      </w:r>
      <w:r w:rsidR="00FA100D" w:rsidRPr="00A1197E">
        <w:rPr>
          <w:w w:val="105"/>
        </w:rPr>
        <w:t>current</w:t>
      </w:r>
      <w:r w:rsidRPr="00A1197E">
        <w:rPr>
          <w:w w:val="105"/>
        </w:rPr>
        <w:t xml:space="preserve"> expenditures to provide match. Examples include a</w:t>
      </w:r>
      <w:bookmarkStart w:id="0" w:name="_GoBack"/>
      <w:bookmarkEnd w:id="0"/>
      <w:r w:rsidRPr="00A1197E">
        <w:rPr>
          <w:w w:val="105"/>
        </w:rPr>
        <w:t>cademic-year faculty salaries committed to the project and unrecovered indirect costs (where allowed by the</w:t>
      </w:r>
      <w:r w:rsidRPr="00A1197E">
        <w:rPr>
          <w:spacing w:val="-28"/>
          <w:w w:val="105"/>
        </w:rPr>
        <w:t xml:space="preserve"> </w:t>
      </w:r>
      <w:r w:rsidRPr="00A1197E">
        <w:rPr>
          <w:w w:val="105"/>
        </w:rPr>
        <w:t>sponsor).</w:t>
      </w:r>
    </w:p>
    <w:p w14:paraId="4D9EFBAC" w14:textId="77777777" w:rsidR="008C7EE9" w:rsidRPr="00A1197E" w:rsidRDefault="008C7EE9">
      <w:pPr>
        <w:pStyle w:val="BodyText"/>
        <w:spacing w:before="2"/>
      </w:pPr>
    </w:p>
    <w:p w14:paraId="6729D2C5" w14:textId="0A36DF89" w:rsidR="008C7EE9" w:rsidRPr="00A1197E" w:rsidRDefault="00FA100D">
      <w:pPr>
        <w:pStyle w:val="ListParagraph"/>
        <w:numPr>
          <w:ilvl w:val="0"/>
          <w:numId w:val="2"/>
        </w:numPr>
        <w:tabs>
          <w:tab w:val="left" w:pos="940"/>
          <w:tab w:val="left" w:pos="941"/>
        </w:tabs>
        <w:spacing w:line="249" w:lineRule="auto"/>
        <w:ind w:left="940" w:right="443" w:hanging="351"/>
      </w:pPr>
      <w:r w:rsidRPr="00A1197E">
        <w:rPr>
          <w:w w:val="105"/>
        </w:rPr>
        <w:t>ORGS</w:t>
      </w:r>
      <w:r w:rsidR="00CE5612" w:rsidRPr="00A1197E">
        <w:rPr>
          <w:w w:val="105"/>
        </w:rPr>
        <w:t xml:space="preserve"> will </w:t>
      </w:r>
      <w:r w:rsidR="00FC2B3A">
        <w:rPr>
          <w:w w:val="105"/>
        </w:rPr>
        <w:t>collaborate with colleges and departments to meet</w:t>
      </w:r>
      <w:r w:rsidR="00CE5612" w:rsidRPr="00A1197E">
        <w:rPr>
          <w:w w:val="105"/>
        </w:rPr>
        <w:t xml:space="preserve"> cash match requirement in excess of current expenditures</w:t>
      </w:r>
      <w:r w:rsidR="007565D2">
        <w:rPr>
          <w:w w:val="105"/>
        </w:rPr>
        <w:t>, when funds are available to do so</w:t>
      </w:r>
      <w:r w:rsidR="00CE5612" w:rsidRPr="00A1197E">
        <w:rPr>
          <w:w w:val="105"/>
        </w:rPr>
        <w:t>.</w:t>
      </w:r>
    </w:p>
    <w:p w14:paraId="4A87AEE0" w14:textId="77777777" w:rsidR="008C7EE9" w:rsidRPr="00A1197E" w:rsidRDefault="008C7EE9">
      <w:pPr>
        <w:pStyle w:val="BodyText"/>
        <w:spacing w:before="4"/>
      </w:pPr>
    </w:p>
    <w:p w14:paraId="524CA303" w14:textId="77777777" w:rsidR="008C7EE9" w:rsidRPr="00A1197E" w:rsidRDefault="009359B4">
      <w:pPr>
        <w:pStyle w:val="Heading2"/>
        <w:rPr>
          <w:sz w:val="22"/>
          <w:szCs w:val="22"/>
        </w:rPr>
      </w:pPr>
      <w:r w:rsidRPr="00A1197E">
        <w:rPr>
          <w:w w:val="105"/>
          <w:sz w:val="22"/>
          <w:szCs w:val="22"/>
        </w:rPr>
        <w:t>Cash Match and In-kind M</w:t>
      </w:r>
      <w:r w:rsidR="00CE5612" w:rsidRPr="00A1197E">
        <w:rPr>
          <w:w w:val="105"/>
          <w:sz w:val="22"/>
          <w:szCs w:val="22"/>
        </w:rPr>
        <w:t>atch</w:t>
      </w:r>
    </w:p>
    <w:p w14:paraId="6116898C" w14:textId="77777777" w:rsidR="008C7EE9" w:rsidRPr="00A1197E" w:rsidRDefault="008C7EE9">
      <w:pPr>
        <w:pStyle w:val="BodyText"/>
        <w:spacing w:before="7"/>
      </w:pPr>
    </w:p>
    <w:p w14:paraId="5E9BA30D" w14:textId="61807341" w:rsidR="00A1197E" w:rsidRPr="00A1197E" w:rsidRDefault="00CE5612" w:rsidP="00A1197E">
      <w:pPr>
        <w:pStyle w:val="ListParagraph"/>
        <w:numPr>
          <w:ilvl w:val="0"/>
          <w:numId w:val="2"/>
        </w:numPr>
        <w:tabs>
          <w:tab w:val="left" w:pos="964"/>
          <w:tab w:val="left" w:pos="965"/>
        </w:tabs>
        <w:spacing w:line="232" w:lineRule="auto"/>
        <w:ind w:left="961" w:right="102" w:hanging="351"/>
        <w:rPr>
          <w:b/>
        </w:rPr>
      </w:pPr>
      <w:r w:rsidRPr="00A1197E">
        <w:rPr>
          <w:w w:val="105"/>
        </w:rPr>
        <w:t>Most CMU match is cash</w:t>
      </w:r>
      <w:r w:rsidR="00A1197E" w:rsidRPr="00A1197E">
        <w:rPr>
          <w:w w:val="105"/>
        </w:rPr>
        <w:t xml:space="preserve"> match</w:t>
      </w:r>
      <w:r w:rsidRPr="00A1197E">
        <w:rPr>
          <w:w w:val="105"/>
        </w:rPr>
        <w:t>. For example, academic-year faculty time devoted to a project</w:t>
      </w:r>
      <w:r w:rsidR="00A1197E" w:rsidRPr="00A1197E">
        <w:rPr>
          <w:w w:val="105"/>
        </w:rPr>
        <w:t xml:space="preserve">, supply expenses, or travel costs, are all considered </w:t>
      </w:r>
      <w:r w:rsidRPr="00A1197E">
        <w:rPr>
          <w:w w:val="105"/>
        </w:rPr>
        <w:t xml:space="preserve">cash match because </w:t>
      </w:r>
      <w:r w:rsidR="00A1197E" w:rsidRPr="00A1197E">
        <w:rPr>
          <w:w w:val="105"/>
        </w:rPr>
        <w:t>they have</w:t>
      </w:r>
      <w:r w:rsidRPr="00A1197E">
        <w:rPr>
          <w:w w:val="105"/>
        </w:rPr>
        <w:t xml:space="preserve"> </w:t>
      </w:r>
      <w:r w:rsidR="008608E7" w:rsidRPr="00A1197E">
        <w:rPr>
          <w:w w:val="105"/>
        </w:rPr>
        <w:t>clearly defined cost</w:t>
      </w:r>
      <w:r w:rsidR="00A1197E" w:rsidRPr="00A1197E">
        <w:rPr>
          <w:w w:val="105"/>
        </w:rPr>
        <w:t>s</w:t>
      </w:r>
      <w:r w:rsidR="008608E7" w:rsidRPr="00A1197E">
        <w:rPr>
          <w:w w:val="105"/>
        </w:rPr>
        <w:t xml:space="preserve">.  </w:t>
      </w:r>
    </w:p>
    <w:p w14:paraId="72DDC8BC" w14:textId="77777777" w:rsidR="00A1197E" w:rsidRPr="00A1197E" w:rsidRDefault="00A1197E" w:rsidP="00A1197E">
      <w:pPr>
        <w:pStyle w:val="ListParagraph"/>
        <w:tabs>
          <w:tab w:val="left" w:pos="964"/>
          <w:tab w:val="left" w:pos="965"/>
        </w:tabs>
        <w:spacing w:line="232" w:lineRule="auto"/>
        <w:ind w:left="961" w:right="102" w:firstLine="0"/>
        <w:rPr>
          <w:b/>
        </w:rPr>
      </w:pPr>
    </w:p>
    <w:p w14:paraId="2F353E75" w14:textId="6D6363A9" w:rsidR="008C7EE9" w:rsidRPr="00A1197E" w:rsidRDefault="00A1197E" w:rsidP="00A1197E">
      <w:pPr>
        <w:pStyle w:val="ListParagraph"/>
        <w:numPr>
          <w:ilvl w:val="0"/>
          <w:numId w:val="2"/>
        </w:numPr>
        <w:tabs>
          <w:tab w:val="left" w:pos="964"/>
          <w:tab w:val="left" w:pos="965"/>
        </w:tabs>
        <w:spacing w:line="232" w:lineRule="auto"/>
        <w:ind w:left="961" w:right="102" w:hanging="351"/>
      </w:pPr>
      <w:r w:rsidRPr="00A1197E">
        <w:rPr>
          <w:w w:val="105"/>
        </w:rPr>
        <w:t>Rarely, CMU match is in-kind.  In-kind match comes generally in the form of the value of personnel, goods, and services.  An example</w:t>
      </w:r>
      <w:r w:rsidR="008608E7" w:rsidRPr="00A1197E">
        <w:rPr>
          <w:w w:val="105"/>
        </w:rPr>
        <w:t xml:space="preserve"> of in-kind CMU match is a faculty member</w:t>
      </w:r>
      <w:r w:rsidRPr="00A1197E">
        <w:rPr>
          <w:w w:val="105"/>
        </w:rPr>
        <w:t xml:space="preserve"> </w:t>
      </w:r>
      <w:r w:rsidR="00FA100D" w:rsidRPr="00A1197E">
        <w:rPr>
          <w:noProof/>
        </w:rPr>
        <mc:AlternateContent>
          <mc:Choice Requires="wps">
            <w:drawing>
              <wp:anchor distT="0" distB="0" distL="114300" distR="114300" simplePos="0" relativeHeight="251660288" behindDoc="0" locked="0" layoutInCell="1" allowOverlap="1" wp14:anchorId="2F58DB0B" wp14:editId="7ED813DA">
                <wp:simplePos x="0" y="0"/>
                <wp:positionH relativeFrom="page">
                  <wp:posOffset>55245</wp:posOffset>
                </wp:positionH>
                <wp:positionV relativeFrom="page">
                  <wp:posOffset>10035540</wp:posOffset>
                </wp:positionV>
                <wp:extent cx="28041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9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BCA729"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pt,790.2pt" to="225.15pt,7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" strokeweight=".25458mm">
                <w10:wrap anchorx="page" anchory="page"/>
              </v:line>
            </w:pict>
          </mc:Fallback>
        </mc:AlternateContent>
      </w:r>
      <w:r w:rsidR="00CE5612" w:rsidRPr="00A1197E">
        <w:rPr>
          <w:w w:val="105"/>
        </w:rPr>
        <w:t xml:space="preserve">volunteering unpaid time to a project during the summer; in this case this unpaid time commitment would reduce the </w:t>
      </w:r>
      <w:r w:rsidRPr="00A1197E">
        <w:rPr>
          <w:w w:val="105"/>
        </w:rPr>
        <w:t xml:space="preserve">faculty member’s </w:t>
      </w:r>
      <w:r w:rsidR="00CE5612" w:rsidRPr="00A1197E">
        <w:rPr>
          <w:w w:val="105"/>
        </w:rPr>
        <w:t>ability to earn summer salary for research or teaching.</w:t>
      </w:r>
    </w:p>
    <w:p w14:paraId="28A9DEAE" w14:textId="77777777" w:rsidR="008C7EE9" w:rsidRPr="00A1197E" w:rsidRDefault="008C7EE9">
      <w:pPr>
        <w:pStyle w:val="BodyText"/>
        <w:spacing w:before="7"/>
      </w:pPr>
    </w:p>
    <w:p w14:paraId="17D07A54" w14:textId="77777777" w:rsidR="008C7EE9" w:rsidRPr="00A1197E" w:rsidRDefault="00CE5612">
      <w:pPr>
        <w:pStyle w:val="ListParagraph"/>
        <w:numPr>
          <w:ilvl w:val="0"/>
          <w:numId w:val="1"/>
        </w:numPr>
        <w:tabs>
          <w:tab w:val="left" w:pos="783"/>
          <w:tab w:val="left" w:pos="784"/>
        </w:tabs>
        <w:ind w:left="783"/>
      </w:pPr>
      <w:r w:rsidRPr="00A1197E">
        <w:rPr>
          <w:w w:val="105"/>
        </w:rPr>
        <w:t>CMU space and equipment cannot be used as in-kind</w:t>
      </w:r>
      <w:r w:rsidRPr="00A1197E">
        <w:rPr>
          <w:spacing w:val="19"/>
          <w:w w:val="105"/>
        </w:rPr>
        <w:t xml:space="preserve"> </w:t>
      </w:r>
      <w:r w:rsidRPr="00A1197E">
        <w:rPr>
          <w:w w:val="105"/>
        </w:rPr>
        <w:t>match.</w:t>
      </w:r>
    </w:p>
    <w:p w14:paraId="33F19613" w14:textId="77777777" w:rsidR="008C7EE9" w:rsidRPr="00A1197E" w:rsidRDefault="008C7EE9">
      <w:pPr>
        <w:pStyle w:val="BodyText"/>
        <w:spacing w:before="4"/>
      </w:pPr>
    </w:p>
    <w:p w14:paraId="56171B29" w14:textId="77777777" w:rsidR="008C7EE9" w:rsidRPr="00A1197E" w:rsidRDefault="00CE5612">
      <w:pPr>
        <w:pStyle w:val="ListParagraph"/>
        <w:numPr>
          <w:ilvl w:val="0"/>
          <w:numId w:val="1"/>
        </w:numPr>
        <w:tabs>
          <w:tab w:val="left" w:pos="785"/>
          <w:tab w:val="left" w:pos="786"/>
        </w:tabs>
        <w:spacing w:line="259" w:lineRule="auto"/>
        <w:ind w:right="362"/>
      </w:pPr>
      <w:r w:rsidRPr="00A1197E">
        <w:rPr>
          <w:w w:val="105"/>
        </w:rPr>
        <w:t>The sources of CMU cash match, including account numbers, must be identified in advance of proposal submission. If the proposal is funded</w:t>
      </w:r>
      <w:r w:rsidR="00FA100D" w:rsidRPr="00A1197E">
        <w:rPr>
          <w:w w:val="105"/>
        </w:rPr>
        <w:t>,</w:t>
      </w:r>
      <w:r w:rsidRPr="00A1197E">
        <w:rPr>
          <w:w w:val="105"/>
        </w:rPr>
        <w:t xml:space="preserve"> the committed f</w:t>
      </w:r>
      <w:r w:rsidR="00FA100D" w:rsidRPr="00A1197E">
        <w:rPr>
          <w:w w:val="105"/>
        </w:rPr>
        <w:t>u</w:t>
      </w:r>
      <w:r w:rsidRPr="00A1197E">
        <w:rPr>
          <w:w w:val="105"/>
        </w:rPr>
        <w:t>nds must be transferred into the grant account and used to support th</w:t>
      </w:r>
      <w:r w:rsidR="00FA100D" w:rsidRPr="00A1197E">
        <w:rPr>
          <w:w w:val="105"/>
        </w:rPr>
        <w:t>e</w:t>
      </w:r>
      <w:r w:rsidRPr="00A1197E">
        <w:rPr>
          <w:spacing w:val="-34"/>
          <w:w w:val="105"/>
        </w:rPr>
        <w:t xml:space="preserve"> </w:t>
      </w:r>
      <w:r w:rsidRPr="00A1197E">
        <w:rPr>
          <w:w w:val="105"/>
        </w:rPr>
        <w:t>project.</w:t>
      </w:r>
    </w:p>
    <w:p w14:paraId="4F79DFF1" w14:textId="77777777" w:rsidR="008C7EE9" w:rsidRPr="00A1197E" w:rsidRDefault="008C7EE9">
      <w:pPr>
        <w:pStyle w:val="BodyText"/>
        <w:spacing w:before="8"/>
      </w:pPr>
    </w:p>
    <w:p w14:paraId="1190F78C" w14:textId="77777777" w:rsidR="008C7EE9" w:rsidRPr="00A1197E" w:rsidRDefault="008608E7">
      <w:pPr>
        <w:pStyle w:val="ListParagraph"/>
        <w:numPr>
          <w:ilvl w:val="0"/>
          <w:numId w:val="1"/>
        </w:numPr>
        <w:tabs>
          <w:tab w:val="left" w:pos="795"/>
          <w:tab w:val="left" w:pos="796"/>
        </w:tabs>
        <w:spacing w:before="1" w:line="254" w:lineRule="auto"/>
        <w:ind w:left="797" w:right="282" w:hanging="358"/>
      </w:pPr>
      <w:r w:rsidRPr="00A1197E">
        <w:rPr>
          <w:w w:val="105"/>
        </w:rPr>
        <w:t>Details</w:t>
      </w:r>
      <w:r w:rsidR="00CE5612" w:rsidRPr="00A1197E">
        <w:rPr>
          <w:w w:val="105"/>
        </w:rPr>
        <w:t xml:space="preserve"> for calculating the cost of faculty time as match </w:t>
      </w:r>
      <w:r w:rsidR="00FA100D" w:rsidRPr="00A1197E">
        <w:rPr>
          <w:w w:val="105"/>
        </w:rPr>
        <w:t xml:space="preserve">will be provided by ORGS.  </w:t>
      </w:r>
    </w:p>
    <w:p w14:paraId="017564EB" w14:textId="77777777" w:rsidR="008C7EE9" w:rsidRPr="00A1197E" w:rsidRDefault="008C7EE9">
      <w:pPr>
        <w:pStyle w:val="BodyText"/>
        <w:spacing w:before="3"/>
      </w:pPr>
    </w:p>
    <w:p w14:paraId="0FAD418C" w14:textId="77777777" w:rsidR="008C7EE9" w:rsidRPr="00A1197E" w:rsidRDefault="00CE5612">
      <w:pPr>
        <w:pStyle w:val="ListParagraph"/>
        <w:numPr>
          <w:ilvl w:val="0"/>
          <w:numId w:val="1"/>
        </w:numPr>
        <w:tabs>
          <w:tab w:val="left" w:pos="809"/>
          <w:tab w:val="left" w:pos="810"/>
        </w:tabs>
        <w:spacing w:line="247" w:lineRule="auto"/>
        <w:ind w:left="805" w:right="333"/>
      </w:pPr>
      <w:r w:rsidRPr="00A1197E">
        <w:rPr>
          <w:w w:val="105"/>
        </w:rPr>
        <w:t>Funds from one funding source cannot be used as match for another project without the explicit written consent of the first funding</w:t>
      </w:r>
      <w:r w:rsidRPr="00A1197E">
        <w:rPr>
          <w:spacing w:val="-7"/>
          <w:w w:val="105"/>
        </w:rPr>
        <w:t xml:space="preserve"> </w:t>
      </w:r>
      <w:r w:rsidRPr="00A1197E">
        <w:rPr>
          <w:w w:val="105"/>
        </w:rPr>
        <w:t>agency.</w:t>
      </w:r>
    </w:p>
    <w:p w14:paraId="04B857DA" w14:textId="4E909AE3" w:rsidR="008C7EE9" w:rsidRPr="00A1197E" w:rsidRDefault="008C7EE9">
      <w:pPr>
        <w:pStyle w:val="BodyText"/>
        <w:spacing w:before="5"/>
      </w:pPr>
    </w:p>
    <w:p w14:paraId="1C92D327" w14:textId="080F674C" w:rsidR="00A1197E" w:rsidRPr="00A1197E" w:rsidRDefault="00A1197E">
      <w:pPr>
        <w:pStyle w:val="BodyText"/>
        <w:spacing w:before="5"/>
      </w:pPr>
      <w:r w:rsidRPr="00A1197E">
        <w:t>Third Party Match</w:t>
      </w:r>
    </w:p>
    <w:p w14:paraId="20344B9D" w14:textId="77777777" w:rsidR="00F30A2E" w:rsidRPr="00F30A2E" w:rsidRDefault="00F30A2E" w:rsidP="00F30A2E">
      <w:pPr>
        <w:pStyle w:val="ListParagraph"/>
        <w:tabs>
          <w:tab w:val="left" w:pos="809"/>
          <w:tab w:val="left" w:pos="810"/>
        </w:tabs>
        <w:spacing w:line="247" w:lineRule="auto"/>
        <w:ind w:left="805" w:right="333" w:firstLine="0"/>
      </w:pPr>
    </w:p>
    <w:p w14:paraId="619B2EB7" w14:textId="4C07ADB5" w:rsidR="00F30A2E" w:rsidRPr="00F30A2E" w:rsidRDefault="00A1197E" w:rsidP="00A1197E">
      <w:pPr>
        <w:pStyle w:val="ListParagraph"/>
        <w:numPr>
          <w:ilvl w:val="0"/>
          <w:numId w:val="1"/>
        </w:numPr>
        <w:tabs>
          <w:tab w:val="left" w:pos="809"/>
          <w:tab w:val="left" w:pos="810"/>
        </w:tabs>
        <w:spacing w:line="247" w:lineRule="auto"/>
        <w:ind w:left="805" w:right="333"/>
      </w:pPr>
      <w:r w:rsidRPr="00A1197E">
        <w:rPr>
          <w:w w:val="105"/>
        </w:rPr>
        <w:t>Third</w:t>
      </w:r>
      <w:r w:rsidR="00F30A2E">
        <w:rPr>
          <w:w w:val="105"/>
        </w:rPr>
        <w:t>-</w:t>
      </w:r>
      <w:r w:rsidRPr="00A1197E">
        <w:rPr>
          <w:w w:val="105"/>
        </w:rPr>
        <w:t xml:space="preserve">party match </w:t>
      </w:r>
      <w:r w:rsidR="00F30A2E">
        <w:rPr>
          <w:w w:val="105"/>
        </w:rPr>
        <w:t xml:space="preserve">consists of </w:t>
      </w:r>
      <w:r w:rsidRPr="00A1197E">
        <w:rPr>
          <w:w w:val="105"/>
        </w:rPr>
        <w:t xml:space="preserve">contributions of goods or services by an external entity.   </w:t>
      </w:r>
    </w:p>
    <w:p w14:paraId="764DAD83" w14:textId="7D914CD9" w:rsidR="00A1197E" w:rsidRPr="00A1197E" w:rsidRDefault="00A1197E" w:rsidP="00A1197E">
      <w:pPr>
        <w:pStyle w:val="ListParagraph"/>
        <w:numPr>
          <w:ilvl w:val="0"/>
          <w:numId w:val="1"/>
        </w:numPr>
        <w:tabs>
          <w:tab w:val="left" w:pos="809"/>
          <w:tab w:val="left" w:pos="810"/>
        </w:tabs>
        <w:spacing w:line="247" w:lineRule="auto"/>
        <w:ind w:left="805" w:right="333"/>
      </w:pPr>
      <w:r w:rsidRPr="00A1197E">
        <w:rPr>
          <w:w w:val="105"/>
        </w:rPr>
        <w:t xml:space="preserve">Examples of </w:t>
      </w:r>
      <w:r w:rsidR="00F30A2E" w:rsidRPr="00A1197E">
        <w:rPr>
          <w:w w:val="105"/>
        </w:rPr>
        <w:t>third-party</w:t>
      </w:r>
      <w:r w:rsidRPr="00A1197E">
        <w:rPr>
          <w:w w:val="105"/>
        </w:rPr>
        <w:t xml:space="preserve"> match include:</w:t>
      </w:r>
    </w:p>
    <w:p w14:paraId="271DB1AF" w14:textId="77777777" w:rsidR="00F30A2E" w:rsidRDefault="00F30A2E" w:rsidP="00F30A2E">
      <w:pPr>
        <w:pStyle w:val="ListParagraph"/>
        <w:tabs>
          <w:tab w:val="left" w:pos="809"/>
          <w:tab w:val="left" w:pos="810"/>
        </w:tabs>
        <w:spacing w:line="247" w:lineRule="auto"/>
        <w:ind w:left="1634" w:right="333" w:firstLine="0"/>
      </w:pPr>
    </w:p>
    <w:p w14:paraId="18AADD39" w14:textId="5D3DCE3C" w:rsidR="00A1197E" w:rsidRPr="00A1197E" w:rsidRDefault="00A1197E" w:rsidP="00A1197E">
      <w:pPr>
        <w:pStyle w:val="ListParagraph"/>
        <w:numPr>
          <w:ilvl w:val="1"/>
          <w:numId w:val="1"/>
        </w:numPr>
        <w:tabs>
          <w:tab w:val="left" w:pos="809"/>
          <w:tab w:val="left" w:pos="810"/>
        </w:tabs>
        <w:spacing w:line="247" w:lineRule="auto"/>
        <w:ind w:right="333"/>
      </w:pPr>
      <w:r w:rsidRPr="00A1197E">
        <w:t>Subrecipient cost share</w:t>
      </w:r>
    </w:p>
    <w:p w14:paraId="56C689BE" w14:textId="77777777" w:rsidR="00F30A2E" w:rsidRDefault="00F30A2E" w:rsidP="00F30A2E">
      <w:pPr>
        <w:pStyle w:val="ListParagraph"/>
        <w:tabs>
          <w:tab w:val="left" w:pos="809"/>
          <w:tab w:val="left" w:pos="810"/>
        </w:tabs>
        <w:spacing w:line="247" w:lineRule="auto"/>
        <w:ind w:left="1634" w:right="333" w:firstLine="0"/>
      </w:pPr>
    </w:p>
    <w:p w14:paraId="6C030EA1" w14:textId="5D9FCE9F" w:rsidR="00A1197E" w:rsidRPr="00A1197E" w:rsidRDefault="00A1197E" w:rsidP="00A1197E">
      <w:pPr>
        <w:pStyle w:val="ListParagraph"/>
        <w:numPr>
          <w:ilvl w:val="1"/>
          <w:numId w:val="1"/>
        </w:numPr>
        <w:tabs>
          <w:tab w:val="left" w:pos="809"/>
          <w:tab w:val="left" w:pos="810"/>
        </w:tabs>
        <w:spacing w:line="247" w:lineRule="auto"/>
        <w:ind w:right="333"/>
      </w:pPr>
      <w:r w:rsidRPr="00A1197E">
        <w:t>Non-CMU employee volunteer time</w:t>
      </w:r>
    </w:p>
    <w:p w14:paraId="0B4E7DD3" w14:textId="77777777" w:rsidR="00F30A2E" w:rsidRDefault="00F30A2E" w:rsidP="00F30A2E">
      <w:pPr>
        <w:pStyle w:val="ListParagraph"/>
        <w:tabs>
          <w:tab w:val="left" w:pos="809"/>
          <w:tab w:val="left" w:pos="810"/>
        </w:tabs>
        <w:spacing w:line="247" w:lineRule="auto"/>
        <w:ind w:left="1634" w:right="333" w:firstLine="0"/>
      </w:pPr>
    </w:p>
    <w:p w14:paraId="08775D60" w14:textId="199F3204" w:rsidR="00A1197E" w:rsidRPr="00A1197E" w:rsidRDefault="00A1197E" w:rsidP="00A1197E">
      <w:pPr>
        <w:pStyle w:val="ListParagraph"/>
        <w:numPr>
          <w:ilvl w:val="1"/>
          <w:numId w:val="1"/>
        </w:numPr>
        <w:tabs>
          <w:tab w:val="left" w:pos="809"/>
          <w:tab w:val="left" w:pos="810"/>
        </w:tabs>
        <w:spacing w:line="247" w:lineRule="auto"/>
        <w:ind w:right="333"/>
      </w:pPr>
      <w:r w:rsidRPr="00A1197E">
        <w:t>External contribution of supplies</w:t>
      </w:r>
    </w:p>
    <w:p w14:paraId="51FA8C46" w14:textId="77777777" w:rsidR="00A1197E" w:rsidRDefault="00A1197E" w:rsidP="00A1197E">
      <w:pPr>
        <w:pStyle w:val="BodyText"/>
        <w:spacing w:before="3"/>
      </w:pPr>
    </w:p>
    <w:p w14:paraId="778967F5" w14:textId="77777777" w:rsidR="00A1197E" w:rsidRDefault="00A1197E">
      <w:pPr>
        <w:pStyle w:val="BodyText"/>
        <w:spacing w:before="5"/>
      </w:pPr>
    </w:p>
    <w:p w14:paraId="6EF88149" w14:textId="77777777" w:rsidR="008C7EE9" w:rsidRDefault="008C7EE9">
      <w:pPr>
        <w:pStyle w:val="BodyText"/>
        <w:rPr>
          <w:b/>
          <w:sz w:val="20"/>
        </w:rPr>
      </w:pPr>
    </w:p>
    <w:p w14:paraId="4E84B45C" w14:textId="77777777" w:rsidR="008C7EE9" w:rsidRDefault="008C7EE9">
      <w:pPr>
        <w:pStyle w:val="BodyText"/>
        <w:rPr>
          <w:b/>
          <w:sz w:val="20"/>
        </w:rPr>
      </w:pPr>
    </w:p>
    <w:p w14:paraId="5407FFC4" w14:textId="77777777" w:rsidR="008C7EE9" w:rsidRDefault="008C7EE9">
      <w:pPr>
        <w:pStyle w:val="BodyText"/>
        <w:rPr>
          <w:b/>
          <w:sz w:val="20"/>
        </w:rPr>
      </w:pPr>
    </w:p>
    <w:p w14:paraId="4548838A" w14:textId="77777777" w:rsidR="008C7EE9" w:rsidRDefault="008C7EE9">
      <w:pPr>
        <w:pStyle w:val="BodyText"/>
        <w:rPr>
          <w:b/>
          <w:sz w:val="20"/>
        </w:rPr>
      </w:pPr>
    </w:p>
    <w:p w14:paraId="09EB292A" w14:textId="77777777" w:rsidR="008C7EE9" w:rsidRDefault="008C7EE9">
      <w:pPr>
        <w:pStyle w:val="BodyText"/>
        <w:rPr>
          <w:b/>
          <w:sz w:val="20"/>
        </w:rPr>
      </w:pPr>
    </w:p>
    <w:p w14:paraId="1D96F68B" w14:textId="77777777" w:rsidR="008C7EE9" w:rsidRDefault="008C7EE9">
      <w:pPr>
        <w:pStyle w:val="BodyText"/>
        <w:rPr>
          <w:b/>
          <w:sz w:val="20"/>
        </w:rPr>
      </w:pPr>
    </w:p>
    <w:p w14:paraId="437CF482" w14:textId="77777777" w:rsidR="008C7EE9" w:rsidRDefault="008C7EE9">
      <w:pPr>
        <w:pStyle w:val="BodyText"/>
        <w:rPr>
          <w:b/>
          <w:sz w:val="20"/>
        </w:rPr>
      </w:pPr>
    </w:p>
    <w:p w14:paraId="2BBCFA0B" w14:textId="762A5060" w:rsidR="008C7EE9" w:rsidRDefault="008C7EE9">
      <w:pPr>
        <w:pStyle w:val="BodyText"/>
        <w:rPr>
          <w:b/>
          <w:sz w:val="20"/>
        </w:rPr>
      </w:pPr>
    </w:p>
    <w:p w14:paraId="505A6943" w14:textId="378508E1" w:rsidR="00A0396C" w:rsidRDefault="00A0396C">
      <w:pPr>
        <w:pStyle w:val="BodyText"/>
        <w:rPr>
          <w:b/>
          <w:sz w:val="20"/>
        </w:rPr>
      </w:pPr>
    </w:p>
    <w:p w14:paraId="05B27BE7" w14:textId="2B48106E" w:rsidR="00A0396C" w:rsidRDefault="00A0396C">
      <w:pPr>
        <w:pStyle w:val="BodyText"/>
        <w:rPr>
          <w:b/>
          <w:sz w:val="20"/>
        </w:rPr>
      </w:pPr>
    </w:p>
    <w:p w14:paraId="06AB18B1" w14:textId="6CDEF1C6" w:rsidR="00A0396C" w:rsidRDefault="00A0396C">
      <w:pPr>
        <w:pStyle w:val="BodyText"/>
        <w:rPr>
          <w:b/>
          <w:sz w:val="20"/>
        </w:rPr>
      </w:pPr>
    </w:p>
    <w:p w14:paraId="3FEE30F7" w14:textId="2FD94D45" w:rsidR="00A0396C" w:rsidRDefault="00A0396C">
      <w:pPr>
        <w:pStyle w:val="BodyText"/>
        <w:rPr>
          <w:b/>
          <w:sz w:val="20"/>
        </w:rPr>
      </w:pPr>
    </w:p>
    <w:p w14:paraId="3E762C3B" w14:textId="568B96F1" w:rsidR="00A0396C" w:rsidRDefault="00A0396C">
      <w:pPr>
        <w:pStyle w:val="BodyText"/>
        <w:rPr>
          <w:b/>
          <w:sz w:val="20"/>
        </w:rPr>
      </w:pPr>
    </w:p>
    <w:p w14:paraId="442A8EA4" w14:textId="2FAF036B" w:rsidR="00A0396C" w:rsidRDefault="00A0396C">
      <w:pPr>
        <w:pStyle w:val="BodyText"/>
        <w:rPr>
          <w:b/>
          <w:sz w:val="20"/>
        </w:rPr>
      </w:pPr>
    </w:p>
    <w:p w14:paraId="6822F18A" w14:textId="1F993AE3" w:rsidR="00A0396C" w:rsidRDefault="00A0396C">
      <w:pPr>
        <w:pStyle w:val="BodyText"/>
        <w:rPr>
          <w:b/>
          <w:sz w:val="20"/>
        </w:rPr>
      </w:pPr>
    </w:p>
    <w:p w14:paraId="5474E4B0" w14:textId="2376260E" w:rsidR="00A0396C" w:rsidRDefault="00A0396C">
      <w:pPr>
        <w:pStyle w:val="BodyText"/>
        <w:rPr>
          <w:b/>
          <w:sz w:val="20"/>
        </w:rPr>
      </w:pPr>
    </w:p>
    <w:p w14:paraId="069EB311" w14:textId="11484DB3" w:rsidR="00A0396C" w:rsidRDefault="00A0396C">
      <w:pPr>
        <w:pStyle w:val="BodyText"/>
        <w:rPr>
          <w:b/>
          <w:sz w:val="20"/>
        </w:rPr>
      </w:pPr>
    </w:p>
    <w:p w14:paraId="1DD97A30" w14:textId="3B3132B8" w:rsidR="00A0396C" w:rsidRDefault="00A0396C">
      <w:pPr>
        <w:pStyle w:val="BodyText"/>
        <w:rPr>
          <w:b/>
          <w:sz w:val="20"/>
        </w:rPr>
      </w:pPr>
    </w:p>
    <w:p w14:paraId="697387EB" w14:textId="103242BA" w:rsidR="00A0396C" w:rsidRDefault="00A0396C">
      <w:pPr>
        <w:pStyle w:val="BodyText"/>
        <w:rPr>
          <w:b/>
          <w:sz w:val="20"/>
        </w:rPr>
      </w:pPr>
    </w:p>
    <w:p w14:paraId="733692D0" w14:textId="0FAB2D14" w:rsidR="00A0396C" w:rsidRDefault="00A0396C">
      <w:pPr>
        <w:pStyle w:val="BodyText"/>
        <w:rPr>
          <w:b/>
          <w:sz w:val="20"/>
        </w:rPr>
      </w:pPr>
    </w:p>
    <w:p w14:paraId="34ED00F4" w14:textId="034A5C52" w:rsidR="00A0396C" w:rsidRDefault="00A0396C">
      <w:pPr>
        <w:pStyle w:val="BodyText"/>
        <w:rPr>
          <w:b/>
          <w:sz w:val="20"/>
        </w:rPr>
      </w:pPr>
    </w:p>
    <w:p w14:paraId="56C47ACC" w14:textId="4AA7C91D" w:rsidR="00A0396C" w:rsidRDefault="00A0396C">
      <w:pPr>
        <w:pStyle w:val="BodyText"/>
        <w:rPr>
          <w:b/>
          <w:sz w:val="20"/>
        </w:rPr>
      </w:pPr>
    </w:p>
    <w:p w14:paraId="21DB48AF" w14:textId="77777777" w:rsidR="00A0396C" w:rsidRDefault="00A0396C">
      <w:pPr>
        <w:pStyle w:val="BodyText"/>
        <w:rPr>
          <w:b/>
          <w:sz w:val="20"/>
        </w:rPr>
      </w:pPr>
    </w:p>
    <w:p w14:paraId="0BD1312B" w14:textId="77777777" w:rsidR="008C7EE9" w:rsidRDefault="008C7EE9">
      <w:pPr>
        <w:pStyle w:val="BodyText"/>
        <w:rPr>
          <w:b/>
          <w:sz w:val="20"/>
        </w:rPr>
      </w:pPr>
    </w:p>
    <w:p w14:paraId="735808CC" w14:textId="77777777" w:rsidR="008C7EE9" w:rsidRDefault="008C7EE9">
      <w:pPr>
        <w:pStyle w:val="BodyText"/>
        <w:rPr>
          <w:b/>
          <w:sz w:val="20"/>
        </w:rPr>
      </w:pPr>
    </w:p>
    <w:p w14:paraId="13567392" w14:textId="2120F506" w:rsidR="008C7EE9" w:rsidRDefault="000B1495">
      <w:pPr>
        <w:pStyle w:val="BodyText"/>
        <w:rPr>
          <w:b/>
          <w:sz w:val="20"/>
        </w:rPr>
      </w:pPr>
      <w:hyperlink r:id="rId8" w:history="1">
        <w:r w:rsidR="00691F0D" w:rsidRPr="00E34528">
          <w:rPr>
            <w:rStyle w:val="Hyperlink"/>
            <w:b/>
            <w:sz w:val="20"/>
          </w:rPr>
          <w:t>https://www.cmich.edu/offices-departments/office-research-graduate-studies/office-of-sponsored-programs/faculty-and-staff-funding/internal-funding-programs</w:t>
        </w:r>
      </w:hyperlink>
      <w:r w:rsidR="00691F0D">
        <w:rPr>
          <w:b/>
          <w:sz w:val="20"/>
        </w:rPr>
        <w:t xml:space="preserve"> </w:t>
      </w:r>
    </w:p>
    <w:sectPr w:rsidR="008C7EE9" w:rsidSect="00A1197E">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940B" w14:textId="77777777" w:rsidR="00A1197E" w:rsidRDefault="00A1197E" w:rsidP="00A1197E">
      <w:r>
        <w:separator/>
      </w:r>
    </w:p>
  </w:endnote>
  <w:endnote w:type="continuationSeparator" w:id="0">
    <w:p w14:paraId="20670C92" w14:textId="77777777" w:rsidR="00A1197E" w:rsidRDefault="00A1197E" w:rsidP="00A1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6477" w14:textId="3F73312B" w:rsidR="00F30A2E" w:rsidRDefault="00F30A2E" w:rsidP="00F30A2E">
    <w:pPr>
      <w:ind w:left="117"/>
      <w:rPr>
        <w:b/>
        <w:sz w:val="17"/>
      </w:rPr>
    </w:pPr>
    <w:r w:rsidRPr="009359B4">
      <w:rPr>
        <w:b/>
        <w:sz w:val="17"/>
        <w:vertAlign w:val="superscript"/>
      </w:rPr>
      <w:t>1</w:t>
    </w:r>
    <w:r>
      <w:rPr>
        <w:b/>
        <w:sz w:val="17"/>
      </w:rPr>
      <w:t xml:space="preserve">Modified </w:t>
    </w:r>
    <w:r w:rsidR="00B30EB6">
      <w:rPr>
        <w:b/>
        <w:sz w:val="17"/>
      </w:rPr>
      <w:t>July 2023</w:t>
    </w:r>
    <w:r>
      <w:rPr>
        <w:b/>
        <w:sz w:val="17"/>
      </w:rPr>
      <w:t xml:space="preserve"> and supersedes earlier versions of this policy.</w:t>
    </w:r>
  </w:p>
  <w:p w14:paraId="55FC98F1" w14:textId="77777777" w:rsidR="00F30A2E" w:rsidRDefault="00F3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9FB7" w14:textId="77777777" w:rsidR="00A1197E" w:rsidRDefault="00A1197E" w:rsidP="00A1197E">
      <w:r>
        <w:separator/>
      </w:r>
    </w:p>
  </w:footnote>
  <w:footnote w:type="continuationSeparator" w:id="0">
    <w:p w14:paraId="31973E26" w14:textId="77777777" w:rsidR="00A1197E" w:rsidRDefault="00A1197E" w:rsidP="00A1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C6A4" w14:textId="561CF2E0" w:rsidR="00A1197E" w:rsidRDefault="00A1197E">
    <w:pPr>
      <w:pStyle w:val="Header"/>
    </w:pPr>
    <w:r>
      <w:rPr>
        <w:noProof/>
      </w:rPr>
      <w:drawing>
        <wp:anchor distT="0" distB="0" distL="114300" distR="114300" simplePos="0" relativeHeight="251659264" behindDoc="0" locked="0" layoutInCell="1" allowOverlap="1" wp14:anchorId="71F33CDA" wp14:editId="1A438395">
          <wp:simplePos x="0" y="0"/>
          <wp:positionH relativeFrom="column">
            <wp:posOffset>1285875</wp:posOffset>
          </wp:positionH>
          <wp:positionV relativeFrom="paragraph">
            <wp:posOffset>-238125</wp:posOffset>
          </wp:positionV>
          <wp:extent cx="2870200" cy="604696"/>
          <wp:effectExtent l="0" t="0" r="635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0" cy="604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0B6BA" w14:textId="77777777" w:rsidR="00A1197E" w:rsidRDefault="00A11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3E94"/>
    <w:multiLevelType w:val="hybridMultilevel"/>
    <w:tmpl w:val="0AF0D4FC"/>
    <w:lvl w:ilvl="0" w:tplc="80C46E80">
      <w:numFmt w:val="bullet"/>
      <w:lvlText w:val="•"/>
      <w:lvlJc w:val="left"/>
      <w:pPr>
        <w:ind w:left="784" w:hanging="351"/>
      </w:pPr>
      <w:rPr>
        <w:rFonts w:ascii="Times New Roman" w:eastAsia="Times New Roman" w:hAnsi="Times New Roman" w:cs="Times New Roman" w:hint="default"/>
        <w:w w:val="105"/>
        <w:sz w:val="22"/>
        <w:szCs w:val="22"/>
      </w:rPr>
    </w:lvl>
    <w:lvl w:ilvl="1" w:tplc="88C6B454">
      <w:numFmt w:val="bullet"/>
      <w:lvlText w:val="•"/>
      <w:lvlJc w:val="left"/>
      <w:pPr>
        <w:ind w:left="1634" w:hanging="351"/>
      </w:pPr>
      <w:rPr>
        <w:rFonts w:hint="default"/>
      </w:rPr>
    </w:lvl>
    <w:lvl w:ilvl="2" w:tplc="676ABC36">
      <w:numFmt w:val="bullet"/>
      <w:lvlText w:val="•"/>
      <w:lvlJc w:val="left"/>
      <w:pPr>
        <w:ind w:left="2488" w:hanging="351"/>
      </w:pPr>
      <w:rPr>
        <w:rFonts w:hint="default"/>
      </w:rPr>
    </w:lvl>
    <w:lvl w:ilvl="3" w:tplc="ECD2FCB4">
      <w:numFmt w:val="bullet"/>
      <w:lvlText w:val="•"/>
      <w:lvlJc w:val="left"/>
      <w:pPr>
        <w:ind w:left="3342" w:hanging="351"/>
      </w:pPr>
      <w:rPr>
        <w:rFonts w:hint="default"/>
      </w:rPr>
    </w:lvl>
    <w:lvl w:ilvl="4" w:tplc="3132965C">
      <w:numFmt w:val="bullet"/>
      <w:lvlText w:val="•"/>
      <w:lvlJc w:val="left"/>
      <w:pPr>
        <w:ind w:left="4196" w:hanging="351"/>
      </w:pPr>
      <w:rPr>
        <w:rFonts w:hint="default"/>
      </w:rPr>
    </w:lvl>
    <w:lvl w:ilvl="5" w:tplc="F3E668B0">
      <w:numFmt w:val="bullet"/>
      <w:lvlText w:val="•"/>
      <w:lvlJc w:val="left"/>
      <w:pPr>
        <w:ind w:left="5050" w:hanging="351"/>
      </w:pPr>
      <w:rPr>
        <w:rFonts w:hint="default"/>
      </w:rPr>
    </w:lvl>
    <w:lvl w:ilvl="6" w:tplc="B22A63FE">
      <w:numFmt w:val="bullet"/>
      <w:lvlText w:val="•"/>
      <w:lvlJc w:val="left"/>
      <w:pPr>
        <w:ind w:left="5904" w:hanging="351"/>
      </w:pPr>
      <w:rPr>
        <w:rFonts w:hint="default"/>
      </w:rPr>
    </w:lvl>
    <w:lvl w:ilvl="7" w:tplc="7C60F7DE">
      <w:numFmt w:val="bullet"/>
      <w:lvlText w:val="•"/>
      <w:lvlJc w:val="left"/>
      <w:pPr>
        <w:ind w:left="6758" w:hanging="351"/>
      </w:pPr>
      <w:rPr>
        <w:rFonts w:hint="default"/>
      </w:rPr>
    </w:lvl>
    <w:lvl w:ilvl="8" w:tplc="87FA1DC8">
      <w:numFmt w:val="bullet"/>
      <w:lvlText w:val="•"/>
      <w:lvlJc w:val="left"/>
      <w:pPr>
        <w:ind w:left="7612" w:hanging="351"/>
      </w:pPr>
      <w:rPr>
        <w:rFonts w:hint="default"/>
      </w:rPr>
    </w:lvl>
  </w:abstractNum>
  <w:abstractNum w:abstractNumId="1" w15:restartNumberingAfterBreak="0">
    <w:nsid w:val="55363D47"/>
    <w:multiLevelType w:val="hybridMultilevel"/>
    <w:tmpl w:val="F7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87E19"/>
    <w:multiLevelType w:val="hybridMultilevel"/>
    <w:tmpl w:val="C5A617AA"/>
    <w:lvl w:ilvl="0" w:tplc="2B10792E">
      <w:numFmt w:val="bullet"/>
      <w:lvlText w:val="•"/>
      <w:lvlJc w:val="left"/>
      <w:pPr>
        <w:ind w:left="879" w:hanging="355"/>
      </w:pPr>
      <w:rPr>
        <w:rFonts w:ascii="Times New Roman" w:eastAsia="Times New Roman" w:hAnsi="Times New Roman" w:cs="Times New Roman" w:hint="default"/>
        <w:w w:val="106"/>
        <w:sz w:val="22"/>
        <w:szCs w:val="22"/>
      </w:rPr>
    </w:lvl>
    <w:lvl w:ilvl="1" w:tplc="5F2A5C34">
      <w:numFmt w:val="bullet"/>
      <w:lvlText w:val="•"/>
      <w:lvlJc w:val="left"/>
      <w:pPr>
        <w:ind w:left="1738" w:hanging="355"/>
      </w:pPr>
      <w:rPr>
        <w:rFonts w:hint="default"/>
      </w:rPr>
    </w:lvl>
    <w:lvl w:ilvl="2" w:tplc="AC747B56">
      <w:numFmt w:val="bullet"/>
      <w:lvlText w:val="•"/>
      <w:lvlJc w:val="left"/>
      <w:pPr>
        <w:ind w:left="2596" w:hanging="355"/>
      </w:pPr>
      <w:rPr>
        <w:rFonts w:hint="default"/>
      </w:rPr>
    </w:lvl>
    <w:lvl w:ilvl="3" w:tplc="0E0EA35C">
      <w:numFmt w:val="bullet"/>
      <w:lvlText w:val="•"/>
      <w:lvlJc w:val="left"/>
      <w:pPr>
        <w:ind w:left="3454" w:hanging="355"/>
      </w:pPr>
      <w:rPr>
        <w:rFonts w:hint="default"/>
      </w:rPr>
    </w:lvl>
    <w:lvl w:ilvl="4" w:tplc="729890CE">
      <w:numFmt w:val="bullet"/>
      <w:lvlText w:val="•"/>
      <w:lvlJc w:val="left"/>
      <w:pPr>
        <w:ind w:left="4312" w:hanging="355"/>
      </w:pPr>
      <w:rPr>
        <w:rFonts w:hint="default"/>
      </w:rPr>
    </w:lvl>
    <w:lvl w:ilvl="5" w:tplc="A82E9ADE">
      <w:numFmt w:val="bullet"/>
      <w:lvlText w:val="•"/>
      <w:lvlJc w:val="left"/>
      <w:pPr>
        <w:ind w:left="5170" w:hanging="355"/>
      </w:pPr>
      <w:rPr>
        <w:rFonts w:hint="default"/>
      </w:rPr>
    </w:lvl>
    <w:lvl w:ilvl="6" w:tplc="D7CC366C">
      <w:numFmt w:val="bullet"/>
      <w:lvlText w:val="•"/>
      <w:lvlJc w:val="left"/>
      <w:pPr>
        <w:ind w:left="6028" w:hanging="355"/>
      </w:pPr>
      <w:rPr>
        <w:rFonts w:hint="default"/>
      </w:rPr>
    </w:lvl>
    <w:lvl w:ilvl="7" w:tplc="52342BDE">
      <w:numFmt w:val="bullet"/>
      <w:lvlText w:val="•"/>
      <w:lvlJc w:val="left"/>
      <w:pPr>
        <w:ind w:left="6886" w:hanging="355"/>
      </w:pPr>
      <w:rPr>
        <w:rFonts w:hint="default"/>
      </w:rPr>
    </w:lvl>
    <w:lvl w:ilvl="8" w:tplc="674C36B0">
      <w:numFmt w:val="bullet"/>
      <w:lvlText w:val="•"/>
      <w:lvlJc w:val="left"/>
      <w:pPr>
        <w:ind w:left="7744" w:hanging="3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E9"/>
    <w:rsid w:val="000B1495"/>
    <w:rsid w:val="001A455A"/>
    <w:rsid w:val="00585B4A"/>
    <w:rsid w:val="006235C2"/>
    <w:rsid w:val="00691F0D"/>
    <w:rsid w:val="007565D2"/>
    <w:rsid w:val="007F4ECF"/>
    <w:rsid w:val="008608E7"/>
    <w:rsid w:val="008C7EE9"/>
    <w:rsid w:val="009359B4"/>
    <w:rsid w:val="009B7006"/>
    <w:rsid w:val="00A0396C"/>
    <w:rsid w:val="00A1197E"/>
    <w:rsid w:val="00B30EB6"/>
    <w:rsid w:val="00CB56D9"/>
    <w:rsid w:val="00CE5612"/>
    <w:rsid w:val="00F30A2E"/>
    <w:rsid w:val="00FA100D"/>
    <w:rsid w:val="00FC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4D06"/>
  <w15:docId w15:val="{7E01259E-E35D-4828-AB39-7282988A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90" w:right="2541"/>
      <w:jc w:val="center"/>
      <w:outlineLvl w:val="0"/>
    </w:pPr>
    <w:rPr>
      <w:sz w:val="24"/>
      <w:szCs w:val="24"/>
    </w:rPr>
  </w:style>
  <w:style w:type="paragraph" w:styleId="Heading2">
    <w:name w:val="heading 2"/>
    <w:basedOn w:val="Normal"/>
    <w:uiPriority w:val="1"/>
    <w:qFormat/>
    <w:pPr>
      <w:ind w:left="261"/>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3"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197E"/>
    <w:pPr>
      <w:tabs>
        <w:tab w:val="center" w:pos="4680"/>
        <w:tab w:val="right" w:pos="9360"/>
      </w:tabs>
    </w:pPr>
  </w:style>
  <w:style w:type="character" w:customStyle="1" w:styleId="HeaderChar">
    <w:name w:val="Header Char"/>
    <w:basedOn w:val="DefaultParagraphFont"/>
    <w:link w:val="Header"/>
    <w:uiPriority w:val="99"/>
    <w:rsid w:val="00A1197E"/>
    <w:rPr>
      <w:rFonts w:ascii="Times New Roman" w:eastAsia="Times New Roman" w:hAnsi="Times New Roman" w:cs="Times New Roman"/>
    </w:rPr>
  </w:style>
  <w:style w:type="paragraph" w:styleId="Footer">
    <w:name w:val="footer"/>
    <w:basedOn w:val="Normal"/>
    <w:link w:val="FooterChar"/>
    <w:uiPriority w:val="99"/>
    <w:unhideWhenUsed/>
    <w:rsid w:val="00A1197E"/>
    <w:pPr>
      <w:tabs>
        <w:tab w:val="center" w:pos="4680"/>
        <w:tab w:val="right" w:pos="9360"/>
      </w:tabs>
    </w:pPr>
  </w:style>
  <w:style w:type="character" w:customStyle="1" w:styleId="FooterChar">
    <w:name w:val="Footer Char"/>
    <w:basedOn w:val="DefaultParagraphFont"/>
    <w:link w:val="Footer"/>
    <w:uiPriority w:val="99"/>
    <w:rsid w:val="00A1197E"/>
    <w:rPr>
      <w:rFonts w:ascii="Times New Roman" w:eastAsia="Times New Roman" w:hAnsi="Times New Roman" w:cs="Times New Roman"/>
    </w:rPr>
  </w:style>
  <w:style w:type="character" w:styleId="Hyperlink">
    <w:name w:val="Hyperlink"/>
    <w:basedOn w:val="DefaultParagraphFont"/>
    <w:uiPriority w:val="99"/>
    <w:unhideWhenUsed/>
    <w:rsid w:val="00691F0D"/>
    <w:rPr>
      <w:color w:val="0000FF" w:themeColor="hyperlink"/>
      <w:u w:val="single"/>
    </w:rPr>
  </w:style>
  <w:style w:type="paragraph" w:styleId="Revision">
    <w:name w:val="Revision"/>
    <w:hidden/>
    <w:uiPriority w:val="99"/>
    <w:semiHidden/>
    <w:rsid w:val="00FC2B3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mich.edu/offices-departments/office-research-graduate-studies/office-of-sponsored-programs/faculty-and-staff-funding/internal-funding-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A315-CFDD-42D6-8655-6038F367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Montoye, Mary J.</dc:creator>
  <cp:keywords/>
  <dc:description/>
  <cp:lastModifiedBy>Brakenberry, Melinda Marie</cp:lastModifiedBy>
  <cp:revision>5</cp:revision>
  <cp:lastPrinted>2020-06-19T14:54:00Z</cp:lastPrinted>
  <dcterms:created xsi:type="dcterms:W3CDTF">2022-08-15T12:22:00Z</dcterms:created>
  <dcterms:modified xsi:type="dcterms:W3CDTF">2023-08-07T20:45:00Z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RICOH MP C401SR</vt:lpwstr>
  </property>
  <property fmtid="{D5CDD505-2E9C-101B-9397-08002B2CF9AE}" pid="4" name="LastSaved">
    <vt:filetime>2020-06-11T00:00:00Z</vt:filetime>
  </property>
</Properties>
</file>